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19</w:t>
      </w:r>
    </w:p>
    <w:p>
      <w:r>
        <w:t>Bundesgericht (BGE), 1996-01-31, DE</w:t>
      </w:r>
    </w:p>
    <w:p>
      <w:r>
        <w:rPr>
          <w:b/>
        </w:rPr>
        <w:t xml:space="preserve">Quelle: </w:t>
      </w:r>
      <w:r>
        <w:t>https://mcp.opencaselaw.ch/entscheid/bge_122 V 19</w:t>
      </w:r>
    </w:p>
    <w:p>
      <w:r>
        <w:t>FR: ATF 122 V 19</w:t>
      </w:r>
    </w:p>
    <w:p>
      <w:r>
        <w:t>IT: DTF 122 V 19</w:t>
      </w:r>
    </w:p>
    <w:p>
      <w:pPr>
        <w:pStyle w:val="Heading2"/>
      </w:pPr>
      <w:r>
        <w:t>Regeste</w:t>
      </w:r>
    </w:p>
    <w:p>
      <w:r>
        <w:t>Regeste Art. 27 Abs. 1 ELV: Rückerstattung. Bei der Neuberechnung der Ergänzungsleistung zur Ermittlung des Rückerstattungsbetrages ist von den Verhältnissen auszugehen, wie sie im Rückerstattungszeitraum tatsächlich bestanden haben. Namentlich sind alle anspruchsrelevanten, das anrechenbare Einkommen erhöhenden und vermindernden Tatsachenänderungen (Art. 25 ELV) zu berücksichtigen. Eine Nachzahlung von Ergänzungsleistungen ist jedoch ausgeschlossen (vgl. Rz. 7034 WEL).</w:t>
      </w:r>
    </w:p>
    <w:p>
      <w:pPr>
        <w:pStyle w:val="Heading2"/>
      </w:pPr>
      <w:r>
        <w:t>Erwägungen</w:t>
      </w:r>
    </w:p>
    <w:p>
      <w:r>
        <w:rPr>
          <w:b/>
        </w:rPr>
        <w:t>E. 1</w:t>
      </w:r>
    </w:p>
    <w:p>
      <w:r>
        <w:t>(Kognition) BGE 122 V 19 S. 21</w:t>
      </w:r>
    </w:p>
    <w:p>
      <w:r>
        <w:rPr>
          <w:b/>
        </w:rPr>
        <w:t>E. 2</w:t>
      </w:r>
    </w:p>
    <w:p>
      <w:r>
        <w:t>Streitig und zu prüfen ist die Rückerstattung der von der Beschwerdeführerin vom 1. August 1990 bis 31. Januar 1993 bezogenen Ergänzungsleistungen.</w:t>
      </w:r>
    </w:p>
    <w:p>
      <w:r>
        <w:rPr>
          <w:b/>
        </w:rPr>
        <w:t>E. 3</w:t>
      </w:r>
    </w:p>
    <w:p>
      <w:r>
        <w:t>Gemäss Art. 47 Abs. 1 AHVG sind unrechtmässig bezogene Renten und Hilflosenentschädigungen zurückzuerstatten; bei gutem Glauben und gleichzeitigem Vorliegen einer grossen Härte kann von der Rückforderung abgesehen werden. Art. 27 Abs. 1 ELV erklärt diese Ordnung für den Bereich der Ergänzungsleistungen als sinngemäss anwendbar. a) Die Rückforderung nach Massgabe dieser Bestimmungen ist nur unter den Voraussetzungen der Wiedererwägung oder prozessualen Revision der formell rechtskräftigen Verfügung, mit welcher die betreffende Leistung zugesprochen worden ist, zulässig ( BGE 110 V 179 Erw. 2a).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119 V 183 Erw. 3a, 477 Erw. 1). Im Rahmen der prozessualen Revision, die von der Wiedererwägung unterschieden werden muss, ist die Verwaltung verpflichtet, auf eine formell rechtskräftige Verfügung zurückzukommen, wenn neue Tatsachen oder Beweismittel entdeckt werden, die geeignet sind, zu einer andern rechtlichen Beurteilung zu führen ( BGE 119 V 184 Erw. 3a, 477 Erw. 1a). b) Nach Art. 25 Abs. 1 lit. c ELV ist die Ergänzungsleistung zu erhöhen, herabzusetzen oder aufzuheben bei Eintritt einer voraussichtlich längere Zeit dauernden Verminderung oder Erhöhung des anrechenbaren Einkommens. Massgebend sind das neue, auf ein Jahr umgerechnete dauernde Einkommen und das bei Eintritt der Änderung vorhandene Vermögen. Macht die Änderung weniger als 120 Franken im Jahr aus, so kann auf eine Anpassung verzichtet werden. Die Ergänzungsleistung ist neu zu verfügen: bei Verminderung des anrechenbaren Einkommens auf den Beginn des Monats, in dem die Änderung gemeldet wurde, frühestens aber des Monats, in dem diese eingetreten ist; bei Erhöhung des anrechenbaren Einkommens, spätestens auf den Beginn des Monats, der auf die neue Verfügung folgt. Vorbehalten bleibt Artikel 27 bei Verletzung der Meldepflicht ( Art. 25 Abs. 2 lit. b und c ELV ). Art. 25 ELV hat die Revision der Ergänzungsleistung im Sinne der Anpassung an geänderte tatsächliche Verhältnisse zum Gegenstand, BGE 122 V 19 S. 22 regelt also Veränderungen in den persönlichen und wirtschaftlichen Verhältnissen des EL-Bezügers während des Leistungsbezuges ( BGE 119 V 193 unten; vgl. U. MEYER-BLASER, Die Abänderung formell rechtskräftiger Verwaltungsverfügungen in der Sozialversicherung, in: ZBl 95 (1994) S. 337 ff., S. 349). Gemäss der in Art. 24 Satz 1 ELV statuierten Meldepflicht hat der Anspruchsberechtigte, sein gesetzlicher Vertreter oder gegebenenfalls die Drittperson oder die Behörde, welcher eine Ergänzungsleistung ausbezahlt wird, der kantonalen Durchführungsstelle von jeder Änderung der persönlichen und von jeder ins Gewicht fallenden Änderung der wirtschaftlichen Verhältnisse unverzüglich Mitteilung zu machen. c) Es steht fest, dass der Beschwerdeführerin im Zeitraum August 1990 bis Januar 1993 Ergänzungsleistungen ausgerichtet wurden in der unrichtigen Annahme, dass sie sich ständig auf der Pflegeabteilung des Alters- und Pflegeheims X aufhalte und dort eine Tagestaxe von Fr. 128.10 zu bezahlen habe. Tatsächlich wechselte sie im August 1990 - noch vor Erlass der Verfügung vom 13. November 1990 - auf die Altersabteilung jenes Heimes und im September 1992 ins Alters- und Pflegeheim Y, wobei hier wie dort wesentlich geringere Tagestaxen (zwischen Fr. 79.-- und Fr. 94.--) anfielen. Dass tiefere Heimkosten regelmässig weniger Ausgaben und damit geringere Ergänzungsleistungen zur Folge haben, musste auch der Beschwerdeführerin bekannt sein, wie Ausgleichskasse und kantonale Rekurskommission richtig festhalten. Für die EL-Berechnung ist sodann von Bedeutung, ob ein EL-Ansprecher oder -Bezüger sich in einem Alters- oder einem Pflegeheim aufhält. Denn der Kanton Thurgau behandelt im Rahmen der ihm gemäss Art. 2 Abs. 1bis und Art. 4 Abs. 1 lit. d, e ELG zustehenden Kompetenzen Altersrentner in Pflegeheimen oder Altersheimen zum Teil stark unterschiedlich: - Erhöhung der Einkommensgrenzen um einen weiteren Drittel ( Art. 4 Abs. 1 lit. d ELG ) bei Pflegeheiminsassen; - Erhöhung des Vermögensverzehrs auf einen Fünftel ( Art. 4 Abs. 1 lit. e ELG ) bei Pflegeheiminsassen; - Begrenzung der Kosten, die wegen des Heimaufenthaltes berücksichtigt werden ( Art. 2 Abs. 1bis ELG ), bei (alleinstehenden) Altersheiminsassen; - Begrenzung der anrechenbaren persönlichen Auslagen ( Art. 2 Abs. 1bis ELG ) auf 15%/25% der massgebenden Einkommensgrenze bei BGE 122 V 19 S. 23 (alleinstehenden) Pflegeheim/Altersheiminsassen (vgl. §§ 2, 3bis und 4bis des Gesetzes über die Ergänzungsleistungen zur Alters-, Hinterlassenen- und Invalidenversicherung vom 25. August 1971, in der Fassung gemäss GRV vom 8. Dezember 1986, Thurgauer Rechtsbuch IV Nr. 831.3). d) Nach dem Gesagten stellt die nicht rechtzeitige Meldung des Heimwechsels im September 1992 eine Verletzung der Meldepflicht im Sinne von Art. 24 ELV dar und kann nach Art. 25 Abs. 1 lit. b und Abs. 2 lit. c ELV eine Rückerstattung nach sich ziehen. Dagegen liegt in bezug auf die Umplazierung im August 1990 keine Meldepflichtverletzung vor, da sie vor der EL-Zusprechung am 13. November 1990 stattgefunden hatte (unveröffentlichtes Urteil S.-I. vom 10. Februar 1993). Indessen ist diese erst Ende 1992 bekanntgewordene neue Tatsache nach den Regeln über die prozessuale Revision rückwirkend und damit allenfalls rückerstattungsbegründend zu berücksichtigen. Die Rückerstattungspflicht der Beschwerdeführerin ist somit grundsätzlich zu bejahen.</w:t>
      </w:r>
    </w:p>
    <w:p>
      <w:r>
        <w:rPr>
          <w:b/>
        </w:rPr>
        <w:t>E. 4</w:t>
      </w:r>
    </w:p>
    <w:p>
      <w:r>
        <w:t>a) Bei der Neuberechnung der Ergänzungsleistung zur Ermittlung des Rückerstattungsbetrages berücksichtigte die Ausgleichskasse die Umplazierung (August 1990) und den Heimwechsel (September 1992) sowie - ab Januar 1993 - den Verbrauch des Sparguthabens (1991/92). Dies ergab (jährliche) Einnahmenüberschüsse von Fr. 3'759.-- (August 1990 bis Dezember 1991), Fr. 2'456.-- (Januar 1992 bis September 1992), Fr. 6'733.-- (Oktober 1992 bis Dezember 1992) und Fr. 359.-- (Januar 1993), weshalb im fraglichen Zeitraum überhaupt kein EL-Anspruch bestanden habe. Die Beschwerdeführerin macht geltend, der Verbrauch des Sparguthabens (1990: Fr. 13'225.--, 1991: Fr. 9'584.--, 1992: Fr. 18'296.--), Krankheitskosten (Insulinspritzen, Blutzuckerbestimmungen ab Februar 1992) sowie die Liegenschaftsübertragung an ihren Sohn unter Einräumung des Wohnrechts im November 1990 seien als das anrechenbare Einkommen vermindernde Änderungen ebenfalls in die Neuberechnung miteinzubeziehen. b) Die kantonale Rekurskommission hat die Rechtsauffassung der Ausgleichskasse, wonach bei der EL-Neuberechnung lediglich das anrechenbare Einkommen erhöhende Änderungen rückwirkend zu berücksichtigen seien, geschützt mit dem Hinweis auf Art. 25 Abs. 2 lit. b ELV . Da die Beschwerdeführerin die geltend gemachten einkommensvermindernden Umstände erstmals in der kantonalen Beschwerde vom 9. Juli 1993 gemeldet habe, BGE 122 V 19 S. 24 könnten sie, so die Vorinstanz weiter, frühestens ab diesem Zeitpunkt berücksichtigt werden. In diesem Sinne sei die nicht gemeldete Liegenschaftsübertragung an den Sohn im November 1990 unter dem Titel Vermögensverzicht nur in die EL-Neuberechnung miteinzubeziehen, wenn und soweit dadurch das anrechenbare Einkommen erhöht worden sei.</w:t>
      </w:r>
    </w:p>
    <w:p>
      <w:r>
        <w:rPr>
          <w:b/>
        </w:rPr>
        <w:t>E. 5</w:t>
      </w:r>
    </w:p>
    <w:p>
      <w:r>
        <w:t>a) Bei der Prüfung der Frage, wie der Rückforderungsbetrag zu berechnen sei, ist davon auszugehen, dass die Ergänzungsleistungen eine angemessene Deckung des Existenzbedarfs bedürftiger Rentner der Alters- und Hinterlassenen- sowie der Invalidenversicherung bezwecken (vgl. Art. 34quater Abs. 2 BV in Verbindung mit Art. 11 Abs. 1 ÜbBest. BV; BGE 108 V 241 Erw. 4c). Dabei geht es darum, die laufenden Lebensbedürfnisse, soweit sie die gesetzlich massgebende Einkommensgrenze übersteigen ( Art. 2 Abs. 1 und Art. 5 Abs. 1 ELG ), abzudecken (EVGE 1968 S. 132 Erw. 2). Es sind deshalb, abgesehen vom Tatbestand des Vermögensverzichts gemäss Art. 3 Abs. 1 lit. f ELG , bei der Anspruchsberechtigung nur tatsächlich vereinnahmte Einkünfte und vorhandene Vermögenswerte zu berücksichtigen, über die der Leistungsansprecher ungeschmälert verfügen kann ( BGE 115 V 353 Erw. 5c mit Hinweisen; AHI 1994 S. 216 Erw. 3a). Dieser Grundsatz gilt auch bei der in Art. 25 ELV positivrechtlich normierten Anpassung (Erhöhung, Herabsetzung, Aufhebung) der Ergänzungsleistung an geänderte tatsächliche Verhältnisse. Dies bedeutet insbesondere, dass der EL-Neuberechnung der im Rahmen des Untersuchungsgrundsatzes und der dem EL-Bezüger obliegenden Mitwirkungspflicht ( BGE 119 V 211 Erw. 3b mit Hinweisen) festgestellte Sachverhalt zugrunde zu legen ist. b) Die gleichen Überlegungen müssen auch bei der Neuberechnung der Ergänzungsleistung im Hinblick auf eine Rückforderung von zuviel bezogenen Ergänzungsleistungen nach Art. 27 Abs. 1 ELV gelten. aa) Dem steht nicht entgegen, dass nach Art. 25 Abs. 2 lit. b ELV die Nachzahlung von Ergänzungsleistungen ausgeschlossen ist, wenn der EL-Bezüger Umstände, die eine voraussichtlich längere Zeit dauernde Verminderung des anrechenbaren Einkommens im Sinne von Art. 25 Abs. 1 lit. c und Abs. 2 lit. b ELV zur Folge haben, verspätet meldet oder solche Änderungen erst nach deren Eintritt der Verwaltung bekannt werden ( BGE 119 V 193 f. Erw. 2c, d). Dieses anpassungsrechtliche Nachzahlungsverbot ist im Rückerstattungsverfahren nach Art. 27 ELV lediglich insofern von Bedeutung, BGE 122 V 19 S. 25 als der Versicherte im günstigsten Fall keine Ergänzungsleistungen rückzuerstatten hat. bb) Diese Auffassung stimmt sodann überein mit der Verwaltungspraxis gemäss Rz. 7034 der Wegleitung über die Ergänzungsleistungen zur AHV und IV [WEL] in der seit 1. Januar 1987 geltenden Fassung. Diese Verwaltungsweisung lautet wie folgt: "Stellt sich bei der Neuberechnung heraus, dass einzelne Berechnungsposten zugunsten des Versicherten ausfallen, können diese in die Neuberechnung miteinbezogen werden. Eine Nachzahlung ist jedoch zu unterlassen." Verwaltungsweisungen sind für den Sozialversicherungsrichter zwar nicht verbindlich. Er soll sie jedoch bei seiner Entscheidung mitberücksichtigen, sofern sie eine dem Einzelfall angepasste und gerecht werdende Auslegung der anwendbaren gesetzlichen Bestimmungen zulassen ( BGE 119 V 259 Erw. 3a mit Hinweisen). Dies ist hier zu bejahen. Rz. 7034 WEL stellt nicht bloss eine Sonderregelung zur Verhinderung von Härtefällen dar, wie das BSV in seiner Vernehmlassung ausführt. Vielmehr ermöglicht diese Praxis eine rechtsgleiche Regelung der Rückerstattungsfrage (vgl. EVGE 1968 S. 133 oben), indem der Rückforderungsbetrag ungeachtet des Meldeverhaltens der EL-Bezüger und unabhängig davon, dass allenfalls die Verwaltung von einer Tatsachenänderung zufällig Kenntnis erhält, festgesetzt wird. Namentlich wird damit eine Besserstellung derjenigen EL-Bezüger verhindert, die, aus welchen Gründen auch immer, lediglich anspruchserhöhende Tatsachenänderungen melden. cc) Im weitern ist zu berücksichtigen, dass das anrechenbare Einkommen als für die Anspruchsberechtigung als solche wie auch für die Höhe der Ergänzungsleistung relevante Grösse ( Art. 2 Abs. 1 und Art. 5 Abs. 1 ELV ) das Ergebnis einer Berechnung ist (vgl. Art. 3 ELG ). Da eine Tatsachenänderung unter Umständen mehrere Positionen in der EL-Berechnung berührt, wie insbesondere beim Wechsel von der eigenen Wohnung in ein Heim oder in eine Mietwohnung bei gleichzeitiger Veräusserung der Wohnliegenschaft, steht meist erst nach Durchführung der Neuberechnung fest, ob eine Erhöhung oder eine Verminderung des anrechenbaren Einkommens vorliegt (unveröffentlichtes Urteil K. vom 1. April 1971). In solchen Fällen bei der EL-Neuberechnung zur Ermittlung des Rückerstattungsbetrages lediglich die für den EL-Bezüger ungünstigen Berechnungsfaktoren zu ändern, wäre stossend. BGE 122 V 19 S. 26 dd) Schliesslich ist zu beachten, dass die nicht oder nicht rechtzeitige Meldung einer das anrechenbare Einkommen - im Ergebnis - vermindernden und damit ergänzungsleistungserhöhenden Tatsachenänderung die Nichtausschöpfung des EL-Anspruchs bedeutet, somit nicht eine Auszahlung von unrechtmässigen, zu hohen Ergänzungsleistungen bewirkt. Es würde dem Grundsatz der Rückerstattungspflicht als einer an das Recht gebundenen versicherungsmässigen Sanktion ohne pönalen Charakter ( BGE 118 V 220 unten), die lediglich verhindern will, dass der Versicherte von der Versicherung mehr erhält, als dem Gesetz entspricht (EVGE 1968 S. 144 Erw. 2f), widersprechen, wenn der EL-Bezüger im Rückforderungsprozess nicht Tatsachenänderungen zu seinen Gunsten "einredeweise" geltend machen könnte. c) Zusammenfassend ist festzustellen, dass im Sinne der Verwaltungspraxis gemäss Rz. 7034 WEL bei der Neuberechnung der Ergänzungsleistung zur Ermittlung des Rückerstattungsbetrages alle anspruchsrelevanten, das anrechenbare Einkommen erhöhenden und vermindernden Tatsachenänderungen zu berücksichtigen sind. Eine Nachzahlung ist jedoch ausgeschlossen.</w:t>
      </w:r>
    </w:p>
    <w:p>
      <w:r>
        <w:rPr>
          <w:b/>
        </w:rPr>
        <w:t>E. 6</w:t>
      </w:r>
    </w:p>
    <w:p>
      <w:r>
        <w:t>Die von der Beschwerdeführerin geltend gemachten Änderungen im Rückerstattungszeitraum August 1990 bis Januar 1993: Verbrauch des Sparguthabens, Krankheitskosten (Insulinspritzen, Blutzuckerbestimmungen ab Februar 1992), Liegenschaftsübertragung an ihren Sohn unter Einräumung des Wohnrechts im November 1990, sind, soweit ausgewiesen, bei der EL-Neuberechnung mitzuberücksichtigen. Namentlich sind die Krankheitskosten nach Art. 3 Abs. 4 lit. e ELG abziehbar. Denn Insulin-Injektionen und Blutzuckerbestimmung sind wissenschaftlich anerkannte Massnahmen im Sinne von Art. 5 lit. a ELKV in Verbindung mit Art. 19 Abs. 2 ELV und Art. 3 Abs. 4bis ELG . Dabei sind alle im Rückerstattungszeitraum angefallenen Kosten zu berücksichtigen. Dass nach Art. 2 lit. a ELKV die Kosten abziehbar sind, wenn der Abzug innert 15 Monaten nach Rechnungsstellung geltend gemacht wird, ist im Rückerstattungsprozess ohne Belang (vgl. Erw. 5c). Im übrigen wird die Ausgleichskasse, an welche die Sache zur Neufestsetzung des Rückforderungsbetrages zurückgewiesen wird, zu beachten haben, dass sie bisher unter dem Titel "Mietwert der eigenen Wohnung" einen (jährlichen) Betrag von Fr. 2'700.-- zum anrechenbaren Einkommen gezählt hat. Gemäss Art. 12 ELV in Verbindung mit Art. 3 Abs. 1 lit. b ELG gilt jedoch lediglich der (nach steuerlichen Grundsätzen bemessene) Mietwert einer vom Eigentümer BGE 122 V 19 S. 27 oder Nutzniesser bewohnten Wohnung als anrechenbares Einkommen aus unbeweglichem Vermögen. Die Beschwerdeführerin lebt jedoch erwiesenermassen seit 25. Mai 1990 dauernd in einem Heim.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